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77DFB" w:rsidRPr="00F77DFB" w:rsidRDefault="00F77DFB" w:rsidP="00F77DFB">
      <w:pPr>
        <w:tabs>
          <w:tab w:val="right" w:leader="dot" w:pos="9180"/>
        </w:tabs>
        <w:jc w:val="center"/>
        <w:rPr>
          <w:b/>
          <w:sz w:val="32"/>
          <w:szCs w:val="32"/>
        </w:rPr>
      </w:pPr>
      <w:r w:rsidRPr="00F77DFB">
        <w:rPr>
          <w:b/>
          <w:sz w:val="32"/>
          <w:szCs w:val="32"/>
        </w:rPr>
        <w:t>Letter from Birmingham Jail</w:t>
      </w:r>
    </w:p>
    <w:p w:rsidR="00F77DFB" w:rsidRPr="00F77DFB" w:rsidRDefault="00DF0E05" w:rsidP="00F77DFB">
      <w:pPr>
        <w:tabs>
          <w:tab w:val="right" w:leader="dot" w:pos="9180"/>
        </w:tabs>
        <w:jc w:val="center"/>
        <w:rPr>
          <w:b/>
          <w:sz w:val="32"/>
          <w:szCs w:val="32"/>
        </w:rPr>
      </w:pPr>
      <w:proofErr w:type="gramStart"/>
      <w:r w:rsidRPr="00DF0E05">
        <w:rPr>
          <w:sz w:val="32"/>
          <w:szCs w:val="32"/>
        </w:rPr>
        <w:t>b</w:t>
      </w:r>
      <w:r w:rsidR="00F77DFB" w:rsidRPr="00DF0E05">
        <w:rPr>
          <w:sz w:val="32"/>
          <w:szCs w:val="32"/>
        </w:rPr>
        <w:t>y</w:t>
      </w:r>
      <w:proofErr w:type="gramEnd"/>
      <w:r w:rsidR="00F77DFB" w:rsidRPr="00F77DFB">
        <w:rPr>
          <w:b/>
          <w:sz w:val="32"/>
          <w:szCs w:val="32"/>
        </w:rPr>
        <w:t xml:space="preserve"> Martin Luther King, Jr.</w:t>
      </w:r>
    </w:p>
    <w:p w:rsidR="00F77DFB" w:rsidRPr="00B5010E" w:rsidRDefault="00F77DFB" w:rsidP="00182632">
      <w:pPr>
        <w:tabs>
          <w:tab w:val="right" w:leader="dot" w:pos="9180"/>
        </w:tabs>
      </w:pPr>
    </w:p>
    <w:p w:rsidR="00B5010E" w:rsidRPr="00B5010E" w:rsidRDefault="00B5010E" w:rsidP="00B5010E">
      <w:pPr>
        <w:ind w:firstLine="720"/>
      </w:pPr>
      <w:r w:rsidRPr="00B5010E">
        <w:t>Martin Luther King Jr. (1928-1968), a minister and civil rights leader, was born in Atlanta, Georgia. In 1956 he organized a bus boycott in Montgomery, Alabama, that succeeded in greatly reducing discrimination against African Americans. He also founded the Southern Christian Leadership</w:t>
      </w:r>
      <w:r w:rsidR="00F4413A">
        <w:t xml:space="preserve"> Conference and during the 1960</w:t>
      </w:r>
      <w:r w:rsidRPr="00B5010E">
        <w:t>s led many civil rights demonstrations- occasionally even b</w:t>
      </w:r>
      <w:r w:rsidR="00F4413A">
        <w:t>eing arrested for demonstrating.</w:t>
      </w:r>
      <w:r w:rsidRPr="00B5010E">
        <w:t xml:space="preserve"> A great orator and well known for his speech “I have a Dream</w:t>
      </w:r>
      <w:r w:rsidR="00F4413A">
        <w:t xml:space="preserve">,” </w:t>
      </w:r>
      <w:r w:rsidR="00F4413A" w:rsidRPr="009F4887">
        <w:t xml:space="preserve">King </w:t>
      </w:r>
      <w:r w:rsidR="009F4887" w:rsidRPr="009F4887">
        <w:t>devoted himself to promoting civil rights by nonviolent demonstration protesting racial discrimination. He received the</w:t>
      </w:r>
      <w:r w:rsidR="009F4887">
        <w:t xml:space="preserve"> Nobel Peace Prize in 1964</w:t>
      </w:r>
      <w:r w:rsidRPr="00B5010E">
        <w:t>. Assassinated in Memphis, Tennessee, in 1968, Martin Luther King</w:t>
      </w:r>
      <w:r w:rsidR="00F4413A">
        <w:t>,</w:t>
      </w:r>
      <w:r w:rsidRPr="00B5010E">
        <w:t xml:space="preserve"> Jr., left a legacy of civil rights reforms and eloquent speeches and writing. </w:t>
      </w:r>
    </w:p>
    <w:p w:rsidR="00B5010E" w:rsidRDefault="00B5010E" w:rsidP="00B5010E"/>
    <w:p w:rsidR="00B5010E" w:rsidRDefault="00B5010E" w:rsidP="00B5010E">
      <w:pPr>
        <w:rPr>
          <w:b/>
        </w:rPr>
      </w:pPr>
      <w:r>
        <w:rPr>
          <w:b/>
        </w:rPr>
        <w:t>Vocabulary</w:t>
      </w:r>
    </w:p>
    <w:p w:rsidR="00E75F3D" w:rsidRPr="00E75F3D" w:rsidRDefault="00E75F3D" w:rsidP="00B5010E"/>
    <w:tbl>
      <w:tblPr>
        <w:tblStyle w:val="TableGrid"/>
        <w:tblW w:w="0" w:type="auto"/>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44"/>
        <w:gridCol w:w="2343"/>
        <w:gridCol w:w="2137"/>
        <w:gridCol w:w="2441"/>
      </w:tblGrid>
      <w:tr w:rsidR="00992C00" w:rsidRPr="00FD75E5" w:rsidTr="009F4887">
        <w:tc>
          <w:tcPr>
            <w:tcW w:w="2594" w:type="dxa"/>
          </w:tcPr>
          <w:p w:rsidR="00992C00" w:rsidRPr="00FD75E5" w:rsidRDefault="00992C00" w:rsidP="009F4887">
            <w:pPr>
              <w:pStyle w:val="ListParagraph"/>
              <w:numPr>
                <w:ilvl w:val="0"/>
                <w:numId w:val="4"/>
              </w:numPr>
              <w:spacing w:after="0" w:line="240" w:lineRule="auto"/>
              <w:contextualSpacing w:val="0"/>
              <w:rPr>
                <w:rFonts w:ascii="Arial" w:hAnsi="Arial" w:cs="Arial"/>
              </w:rPr>
            </w:pPr>
            <w:r w:rsidRPr="00FD75E5">
              <w:rPr>
                <w:rFonts w:ascii="Arial" w:hAnsi="Arial" w:cs="Arial"/>
              </w:rPr>
              <w:t>clarion</w:t>
            </w:r>
          </w:p>
        </w:tc>
        <w:tc>
          <w:tcPr>
            <w:tcW w:w="2262" w:type="dxa"/>
          </w:tcPr>
          <w:p w:rsidR="00992C00" w:rsidRPr="00FD75E5" w:rsidRDefault="00992C00" w:rsidP="009F4887">
            <w:pPr>
              <w:pStyle w:val="ListParagraph"/>
              <w:numPr>
                <w:ilvl w:val="0"/>
                <w:numId w:val="4"/>
              </w:numPr>
              <w:spacing w:after="0" w:line="240" w:lineRule="auto"/>
              <w:contextualSpacing w:val="0"/>
              <w:rPr>
                <w:rFonts w:ascii="Arial" w:hAnsi="Arial" w:cs="Arial"/>
              </w:rPr>
            </w:pPr>
            <w:r w:rsidRPr="00FD75E5">
              <w:rPr>
                <w:rFonts w:ascii="Arial" w:hAnsi="Arial" w:cs="Arial"/>
              </w:rPr>
              <w:t>cognizant</w:t>
            </w:r>
          </w:p>
        </w:tc>
        <w:tc>
          <w:tcPr>
            <w:tcW w:w="2151" w:type="dxa"/>
          </w:tcPr>
          <w:p w:rsidR="00992C00" w:rsidRPr="00FD75E5" w:rsidRDefault="00992C00" w:rsidP="009F4887">
            <w:pPr>
              <w:pStyle w:val="ListParagraph"/>
              <w:numPr>
                <w:ilvl w:val="0"/>
                <w:numId w:val="4"/>
              </w:numPr>
              <w:spacing w:after="0" w:line="240" w:lineRule="auto"/>
              <w:contextualSpacing w:val="0"/>
              <w:rPr>
                <w:rFonts w:ascii="Arial" w:hAnsi="Arial" w:cs="Arial"/>
              </w:rPr>
            </w:pPr>
            <w:r w:rsidRPr="00FD75E5">
              <w:rPr>
                <w:rFonts w:ascii="Arial" w:hAnsi="Arial" w:cs="Arial"/>
              </w:rPr>
              <w:t>concur</w:t>
            </w:r>
          </w:p>
        </w:tc>
        <w:tc>
          <w:tcPr>
            <w:tcW w:w="2348" w:type="dxa"/>
          </w:tcPr>
          <w:p w:rsidR="00992C00" w:rsidRPr="00FD75E5" w:rsidRDefault="00992C00" w:rsidP="009F4887">
            <w:pPr>
              <w:pStyle w:val="ListParagraph"/>
              <w:numPr>
                <w:ilvl w:val="0"/>
                <w:numId w:val="4"/>
              </w:numPr>
              <w:spacing w:after="0" w:line="240" w:lineRule="auto"/>
              <w:contextualSpacing w:val="0"/>
              <w:rPr>
                <w:rFonts w:ascii="Arial" w:hAnsi="Arial" w:cs="Arial"/>
              </w:rPr>
            </w:pPr>
            <w:r w:rsidRPr="00FD75E5">
              <w:rPr>
                <w:rFonts w:ascii="Arial" w:hAnsi="Arial" w:cs="Arial"/>
              </w:rPr>
              <w:t>deplore</w:t>
            </w:r>
          </w:p>
        </w:tc>
      </w:tr>
      <w:tr w:rsidR="00992C00" w:rsidRPr="00FD75E5" w:rsidTr="009F4887">
        <w:tc>
          <w:tcPr>
            <w:tcW w:w="2594" w:type="dxa"/>
          </w:tcPr>
          <w:p w:rsidR="00992C00" w:rsidRPr="00FD75E5" w:rsidRDefault="00992C00" w:rsidP="009F4887">
            <w:pPr>
              <w:pStyle w:val="ListParagraph"/>
              <w:numPr>
                <w:ilvl w:val="0"/>
                <w:numId w:val="4"/>
              </w:numPr>
              <w:spacing w:after="0" w:line="240" w:lineRule="auto"/>
              <w:contextualSpacing w:val="0"/>
              <w:rPr>
                <w:rFonts w:ascii="Arial" w:hAnsi="Arial" w:cs="Arial"/>
              </w:rPr>
            </w:pPr>
            <w:r w:rsidRPr="00FD75E5">
              <w:rPr>
                <w:rFonts w:ascii="Arial" w:hAnsi="Arial" w:cs="Arial"/>
              </w:rPr>
              <w:t xml:space="preserve">estrangement </w:t>
            </w:r>
          </w:p>
        </w:tc>
        <w:tc>
          <w:tcPr>
            <w:tcW w:w="2262" w:type="dxa"/>
          </w:tcPr>
          <w:p w:rsidR="00992C00" w:rsidRPr="00FD75E5" w:rsidRDefault="00992C00" w:rsidP="009F4887">
            <w:pPr>
              <w:pStyle w:val="ListParagraph"/>
              <w:numPr>
                <w:ilvl w:val="0"/>
                <w:numId w:val="4"/>
              </w:numPr>
              <w:spacing w:after="0" w:line="240" w:lineRule="auto"/>
              <w:contextualSpacing w:val="0"/>
              <w:rPr>
                <w:rFonts w:ascii="Arial" w:hAnsi="Arial" w:cs="Arial"/>
              </w:rPr>
            </w:pPr>
            <w:r w:rsidRPr="00FD75E5">
              <w:rPr>
                <w:rFonts w:ascii="Arial" w:hAnsi="Arial" w:cs="Arial"/>
              </w:rPr>
              <w:t>existential</w:t>
            </w:r>
          </w:p>
        </w:tc>
        <w:tc>
          <w:tcPr>
            <w:tcW w:w="2151" w:type="dxa"/>
          </w:tcPr>
          <w:p w:rsidR="00992C00" w:rsidRPr="00FD75E5" w:rsidRDefault="00992C00" w:rsidP="009F4887">
            <w:pPr>
              <w:pStyle w:val="ListParagraph"/>
              <w:numPr>
                <w:ilvl w:val="0"/>
                <w:numId w:val="4"/>
              </w:numPr>
              <w:spacing w:after="0" w:line="240" w:lineRule="auto"/>
              <w:contextualSpacing w:val="0"/>
              <w:rPr>
                <w:rFonts w:ascii="Arial" w:hAnsi="Arial" w:cs="Arial"/>
              </w:rPr>
            </w:pPr>
            <w:r w:rsidRPr="00FD75E5">
              <w:rPr>
                <w:rFonts w:ascii="Arial" w:hAnsi="Arial" w:cs="Arial"/>
              </w:rPr>
              <w:t>gainsaying</w:t>
            </w:r>
          </w:p>
        </w:tc>
        <w:tc>
          <w:tcPr>
            <w:tcW w:w="2348" w:type="dxa"/>
          </w:tcPr>
          <w:p w:rsidR="00992C00" w:rsidRPr="00FD75E5" w:rsidRDefault="00992C00" w:rsidP="009F4887">
            <w:pPr>
              <w:pStyle w:val="ListParagraph"/>
              <w:numPr>
                <w:ilvl w:val="0"/>
                <w:numId w:val="4"/>
              </w:numPr>
              <w:spacing w:after="0" w:line="240" w:lineRule="auto"/>
              <w:contextualSpacing w:val="0"/>
              <w:rPr>
                <w:rFonts w:ascii="Arial" w:hAnsi="Arial" w:cs="Arial"/>
              </w:rPr>
            </w:pPr>
            <w:r w:rsidRPr="00FD75E5">
              <w:rPr>
                <w:rFonts w:ascii="Arial" w:hAnsi="Arial" w:cs="Arial"/>
              </w:rPr>
              <w:t>gladiatorial</w:t>
            </w:r>
          </w:p>
        </w:tc>
      </w:tr>
      <w:tr w:rsidR="00992C00" w:rsidRPr="00FD75E5" w:rsidTr="009F4887">
        <w:tc>
          <w:tcPr>
            <w:tcW w:w="2594" w:type="dxa"/>
          </w:tcPr>
          <w:p w:rsidR="00992C00" w:rsidRPr="00FD75E5" w:rsidRDefault="00992C00" w:rsidP="009F4887">
            <w:pPr>
              <w:pStyle w:val="ListParagraph"/>
              <w:numPr>
                <w:ilvl w:val="0"/>
                <w:numId w:val="4"/>
              </w:numPr>
              <w:spacing w:after="0" w:line="240" w:lineRule="auto"/>
              <w:contextualSpacing w:val="0"/>
              <w:rPr>
                <w:rFonts w:ascii="Arial" w:hAnsi="Arial" w:cs="Arial"/>
              </w:rPr>
            </w:pPr>
            <w:r w:rsidRPr="00FD75E5">
              <w:rPr>
                <w:rFonts w:ascii="Arial" w:hAnsi="Arial" w:cs="Arial"/>
              </w:rPr>
              <w:t>harried</w:t>
            </w:r>
          </w:p>
        </w:tc>
        <w:tc>
          <w:tcPr>
            <w:tcW w:w="2262" w:type="dxa"/>
          </w:tcPr>
          <w:p w:rsidR="00992C00" w:rsidRPr="00FD75E5" w:rsidRDefault="00992C00" w:rsidP="009F4887">
            <w:pPr>
              <w:pStyle w:val="ListParagraph"/>
              <w:numPr>
                <w:ilvl w:val="0"/>
                <w:numId w:val="4"/>
              </w:numPr>
              <w:spacing w:after="0" w:line="240" w:lineRule="auto"/>
              <w:contextualSpacing w:val="0"/>
              <w:rPr>
                <w:rFonts w:ascii="Arial" w:hAnsi="Arial" w:cs="Arial"/>
              </w:rPr>
            </w:pPr>
            <w:r w:rsidRPr="00FD75E5">
              <w:rPr>
                <w:rFonts w:ascii="Arial" w:hAnsi="Arial" w:cs="Arial"/>
              </w:rPr>
              <w:t>infanticide</w:t>
            </w:r>
          </w:p>
        </w:tc>
        <w:tc>
          <w:tcPr>
            <w:tcW w:w="2151" w:type="dxa"/>
          </w:tcPr>
          <w:p w:rsidR="00992C00" w:rsidRPr="00FD75E5" w:rsidRDefault="00992C00" w:rsidP="009F4887">
            <w:pPr>
              <w:pStyle w:val="ListParagraph"/>
              <w:numPr>
                <w:ilvl w:val="0"/>
                <w:numId w:val="4"/>
              </w:numPr>
              <w:spacing w:after="0" w:line="240" w:lineRule="auto"/>
              <w:contextualSpacing w:val="0"/>
              <w:rPr>
                <w:rFonts w:ascii="Arial" w:hAnsi="Arial" w:cs="Arial"/>
              </w:rPr>
            </w:pPr>
            <w:r w:rsidRPr="00FD75E5">
              <w:rPr>
                <w:rFonts w:ascii="Arial" w:hAnsi="Arial" w:cs="Arial"/>
              </w:rPr>
              <w:t>interposition</w:t>
            </w:r>
          </w:p>
        </w:tc>
        <w:tc>
          <w:tcPr>
            <w:tcW w:w="2348" w:type="dxa"/>
          </w:tcPr>
          <w:p w:rsidR="00992C00" w:rsidRPr="00FD75E5" w:rsidRDefault="00992C00" w:rsidP="009F4887">
            <w:pPr>
              <w:pStyle w:val="ListParagraph"/>
              <w:numPr>
                <w:ilvl w:val="0"/>
                <w:numId w:val="4"/>
              </w:numPr>
              <w:spacing w:after="0" w:line="240" w:lineRule="auto"/>
              <w:contextualSpacing w:val="0"/>
              <w:rPr>
                <w:rFonts w:ascii="Arial" w:hAnsi="Arial" w:cs="Arial"/>
              </w:rPr>
            </w:pPr>
            <w:r w:rsidRPr="00FD75E5">
              <w:rPr>
                <w:rFonts w:ascii="Arial" w:hAnsi="Arial" w:cs="Arial"/>
              </w:rPr>
              <w:t>languished</w:t>
            </w:r>
          </w:p>
        </w:tc>
      </w:tr>
      <w:tr w:rsidR="00992C00" w:rsidRPr="00FD75E5" w:rsidTr="009F4887">
        <w:tc>
          <w:tcPr>
            <w:tcW w:w="2594" w:type="dxa"/>
          </w:tcPr>
          <w:p w:rsidR="00992C00" w:rsidRPr="00FD75E5" w:rsidRDefault="00992C00" w:rsidP="009F4887">
            <w:pPr>
              <w:pStyle w:val="ListParagraph"/>
              <w:numPr>
                <w:ilvl w:val="0"/>
                <w:numId w:val="4"/>
              </w:numPr>
              <w:spacing w:after="0" w:line="240" w:lineRule="auto"/>
              <w:contextualSpacing w:val="0"/>
              <w:rPr>
                <w:rFonts w:ascii="Arial" w:hAnsi="Arial" w:cs="Arial"/>
              </w:rPr>
            </w:pPr>
            <w:r w:rsidRPr="00FD75E5">
              <w:rPr>
                <w:rFonts w:ascii="Arial" w:hAnsi="Arial" w:cs="Arial"/>
              </w:rPr>
              <w:t>moratorium</w:t>
            </w:r>
          </w:p>
        </w:tc>
        <w:tc>
          <w:tcPr>
            <w:tcW w:w="2262" w:type="dxa"/>
          </w:tcPr>
          <w:p w:rsidR="00992C00" w:rsidRPr="00FD75E5" w:rsidRDefault="00992C00" w:rsidP="009F4887">
            <w:pPr>
              <w:pStyle w:val="ListParagraph"/>
              <w:numPr>
                <w:ilvl w:val="0"/>
                <w:numId w:val="4"/>
              </w:numPr>
              <w:spacing w:after="0" w:line="240" w:lineRule="auto"/>
              <w:contextualSpacing w:val="0"/>
              <w:rPr>
                <w:rFonts w:ascii="Arial" w:hAnsi="Arial" w:cs="Arial"/>
              </w:rPr>
            </w:pPr>
            <w:r w:rsidRPr="00FD75E5">
              <w:rPr>
                <w:rFonts w:ascii="Arial" w:hAnsi="Arial" w:cs="Arial"/>
              </w:rPr>
              <w:t>nullification</w:t>
            </w:r>
          </w:p>
        </w:tc>
        <w:tc>
          <w:tcPr>
            <w:tcW w:w="2151" w:type="dxa"/>
          </w:tcPr>
          <w:p w:rsidR="00992C00" w:rsidRPr="00FD75E5" w:rsidRDefault="00992C00" w:rsidP="009F4887">
            <w:pPr>
              <w:pStyle w:val="ListParagraph"/>
              <w:numPr>
                <w:ilvl w:val="0"/>
                <w:numId w:val="4"/>
              </w:numPr>
              <w:spacing w:after="0" w:line="240" w:lineRule="auto"/>
              <w:contextualSpacing w:val="0"/>
              <w:rPr>
                <w:rFonts w:ascii="Arial" w:hAnsi="Arial" w:cs="Arial"/>
              </w:rPr>
            </w:pPr>
            <w:r w:rsidRPr="00FD75E5">
              <w:rPr>
                <w:rFonts w:ascii="Arial" w:hAnsi="Arial" w:cs="Arial"/>
              </w:rPr>
              <w:t>ominous</w:t>
            </w:r>
          </w:p>
        </w:tc>
        <w:tc>
          <w:tcPr>
            <w:tcW w:w="2348" w:type="dxa"/>
          </w:tcPr>
          <w:p w:rsidR="00992C00" w:rsidRPr="00FD75E5" w:rsidRDefault="00992C00" w:rsidP="009F4887">
            <w:pPr>
              <w:pStyle w:val="ListParagraph"/>
              <w:numPr>
                <w:ilvl w:val="0"/>
                <w:numId w:val="4"/>
              </w:numPr>
              <w:spacing w:after="0" w:line="240" w:lineRule="auto"/>
              <w:contextualSpacing w:val="0"/>
              <w:rPr>
                <w:rFonts w:ascii="Arial" w:hAnsi="Arial" w:cs="Arial"/>
              </w:rPr>
            </w:pPr>
            <w:r w:rsidRPr="00FD75E5">
              <w:rPr>
                <w:rFonts w:ascii="Arial" w:hAnsi="Arial" w:cs="Arial"/>
              </w:rPr>
              <w:t>paternalistically</w:t>
            </w:r>
          </w:p>
        </w:tc>
      </w:tr>
      <w:tr w:rsidR="00992C00" w:rsidRPr="00FD75E5" w:rsidTr="009F4887">
        <w:tc>
          <w:tcPr>
            <w:tcW w:w="2594" w:type="dxa"/>
          </w:tcPr>
          <w:p w:rsidR="00992C00" w:rsidRPr="00FD75E5" w:rsidRDefault="00992C00" w:rsidP="009F4887">
            <w:pPr>
              <w:pStyle w:val="ListParagraph"/>
              <w:numPr>
                <w:ilvl w:val="0"/>
                <w:numId w:val="4"/>
              </w:numPr>
              <w:spacing w:after="0" w:line="240" w:lineRule="auto"/>
              <w:contextualSpacing w:val="0"/>
              <w:rPr>
                <w:rFonts w:ascii="Arial" w:hAnsi="Arial" w:cs="Arial"/>
              </w:rPr>
            </w:pPr>
            <w:r w:rsidRPr="00FD75E5">
              <w:rPr>
                <w:rFonts w:ascii="Arial" w:hAnsi="Arial" w:cs="Arial"/>
              </w:rPr>
              <w:t>rabid</w:t>
            </w:r>
          </w:p>
        </w:tc>
        <w:tc>
          <w:tcPr>
            <w:tcW w:w="2262" w:type="dxa"/>
          </w:tcPr>
          <w:p w:rsidR="00992C00" w:rsidRPr="00FD75E5" w:rsidRDefault="00992C00" w:rsidP="009F4887">
            <w:pPr>
              <w:pStyle w:val="ListParagraph"/>
              <w:numPr>
                <w:ilvl w:val="0"/>
                <w:numId w:val="4"/>
              </w:numPr>
              <w:spacing w:after="0" w:line="240" w:lineRule="auto"/>
              <w:contextualSpacing w:val="0"/>
              <w:rPr>
                <w:rFonts w:ascii="Arial" w:hAnsi="Arial" w:cs="Arial"/>
              </w:rPr>
            </w:pPr>
            <w:r w:rsidRPr="00FD75E5">
              <w:rPr>
                <w:rFonts w:ascii="Arial" w:hAnsi="Arial" w:cs="Arial"/>
              </w:rPr>
              <w:t>sanctimonious</w:t>
            </w:r>
          </w:p>
        </w:tc>
        <w:tc>
          <w:tcPr>
            <w:tcW w:w="2151" w:type="dxa"/>
          </w:tcPr>
          <w:p w:rsidR="00992C00" w:rsidRPr="00FD75E5" w:rsidRDefault="00992C00" w:rsidP="009F4887">
            <w:pPr>
              <w:pStyle w:val="ListParagraph"/>
              <w:numPr>
                <w:ilvl w:val="0"/>
                <w:numId w:val="4"/>
              </w:numPr>
              <w:spacing w:after="0" w:line="240" w:lineRule="auto"/>
              <w:contextualSpacing w:val="0"/>
              <w:rPr>
                <w:rFonts w:ascii="Arial" w:hAnsi="Arial" w:cs="Arial"/>
              </w:rPr>
            </w:pPr>
            <w:r w:rsidRPr="00FD75E5">
              <w:rPr>
                <w:rFonts w:ascii="Arial" w:hAnsi="Arial" w:cs="Arial"/>
              </w:rPr>
              <w:t>solace</w:t>
            </w:r>
          </w:p>
        </w:tc>
        <w:tc>
          <w:tcPr>
            <w:tcW w:w="2348" w:type="dxa"/>
          </w:tcPr>
          <w:p w:rsidR="00992C00" w:rsidRPr="00FD75E5" w:rsidRDefault="00992C00" w:rsidP="009F4887">
            <w:pPr>
              <w:pStyle w:val="ListParagraph"/>
              <w:numPr>
                <w:ilvl w:val="0"/>
                <w:numId w:val="4"/>
              </w:numPr>
              <w:spacing w:after="0" w:line="240" w:lineRule="auto"/>
              <w:contextualSpacing w:val="0"/>
              <w:rPr>
                <w:rFonts w:ascii="Arial" w:hAnsi="Arial" w:cs="Arial"/>
              </w:rPr>
            </w:pPr>
            <w:r w:rsidRPr="00FD75E5">
              <w:rPr>
                <w:rFonts w:ascii="Arial" w:hAnsi="Arial" w:cs="Arial"/>
              </w:rPr>
              <w:t>sublimely</w:t>
            </w:r>
          </w:p>
        </w:tc>
      </w:tr>
    </w:tbl>
    <w:p w:rsidR="00992C00" w:rsidRDefault="00992C00" w:rsidP="00B5010E"/>
    <w:p w:rsidR="00B5010E" w:rsidRPr="00992C00" w:rsidRDefault="00B5010E" w:rsidP="00B5010E">
      <w:pPr>
        <w:rPr>
          <w:b/>
        </w:rPr>
      </w:pPr>
      <w:r w:rsidRPr="00992C00">
        <w:rPr>
          <w:b/>
        </w:rPr>
        <w:t>Notes</w:t>
      </w:r>
    </w:p>
    <w:p w:rsidR="00B5010E" w:rsidRPr="00B5010E" w:rsidRDefault="00FD75E5" w:rsidP="00B5010E">
      <w:pPr>
        <w:pStyle w:val="ListParagraph"/>
        <w:numPr>
          <w:ilvl w:val="0"/>
          <w:numId w:val="3"/>
        </w:numPr>
        <w:rPr>
          <w:rFonts w:ascii="Arial" w:hAnsi="Arial" w:cs="Arial"/>
        </w:rPr>
      </w:pPr>
      <w:hyperlink r:id="rId5" w:history="1">
        <w:r w:rsidR="00B5010E" w:rsidRPr="00E75F3D">
          <w:rPr>
            <w:rStyle w:val="Hyperlink"/>
            <w:rFonts w:ascii="Arial" w:hAnsi="Arial" w:cs="Arial"/>
          </w:rPr>
          <w:t>Reinhold Niebuhr</w:t>
        </w:r>
      </w:hyperlink>
      <w:r w:rsidR="00B5010E" w:rsidRPr="00B5010E">
        <w:rPr>
          <w:rFonts w:ascii="Arial" w:hAnsi="Arial" w:cs="Arial"/>
        </w:rPr>
        <w:t>- (1892-1971) a Christian theologian</w:t>
      </w:r>
    </w:p>
    <w:p w:rsidR="00B5010E" w:rsidRPr="00B5010E" w:rsidRDefault="00FD75E5" w:rsidP="00B5010E">
      <w:pPr>
        <w:pStyle w:val="ListParagraph"/>
        <w:numPr>
          <w:ilvl w:val="0"/>
          <w:numId w:val="3"/>
        </w:numPr>
        <w:rPr>
          <w:rFonts w:ascii="Arial" w:hAnsi="Arial" w:cs="Arial"/>
        </w:rPr>
      </w:pPr>
      <w:hyperlink r:id="rId6" w:history="1">
        <w:r w:rsidR="00B5010E" w:rsidRPr="00E75F3D">
          <w:rPr>
            <w:rStyle w:val="Hyperlink"/>
            <w:rFonts w:ascii="Arial" w:hAnsi="Arial" w:cs="Arial"/>
          </w:rPr>
          <w:t>St. Augustine</w:t>
        </w:r>
      </w:hyperlink>
      <w:r w:rsidR="00B5010E" w:rsidRPr="00B5010E">
        <w:rPr>
          <w:rFonts w:ascii="Arial" w:hAnsi="Arial" w:cs="Arial"/>
        </w:rPr>
        <w:t>- (354-430) an early Christian theologian</w:t>
      </w:r>
    </w:p>
    <w:p w:rsidR="00B5010E" w:rsidRPr="00B5010E" w:rsidRDefault="00FD75E5" w:rsidP="00B5010E">
      <w:pPr>
        <w:pStyle w:val="ListParagraph"/>
        <w:numPr>
          <w:ilvl w:val="0"/>
          <w:numId w:val="3"/>
        </w:numPr>
        <w:rPr>
          <w:rFonts w:ascii="Arial" w:hAnsi="Arial" w:cs="Arial"/>
        </w:rPr>
      </w:pPr>
      <w:hyperlink r:id="rId7" w:history="1">
        <w:r w:rsidR="00B5010E" w:rsidRPr="00E75F3D">
          <w:rPr>
            <w:rStyle w:val="Hyperlink"/>
            <w:rFonts w:ascii="Arial" w:hAnsi="Arial" w:cs="Arial"/>
          </w:rPr>
          <w:t>St. Thomas Aquinas</w:t>
        </w:r>
      </w:hyperlink>
      <w:r w:rsidR="00B5010E" w:rsidRPr="00B5010E">
        <w:rPr>
          <w:rFonts w:ascii="Arial" w:hAnsi="Arial" w:cs="Arial"/>
        </w:rPr>
        <w:t>- (1275?-1274) a Catholic theologian</w:t>
      </w:r>
    </w:p>
    <w:p w:rsidR="00B5010E" w:rsidRPr="00B5010E" w:rsidRDefault="00FD75E5" w:rsidP="00B5010E">
      <w:pPr>
        <w:pStyle w:val="ListParagraph"/>
        <w:numPr>
          <w:ilvl w:val="0"/>
          <w:numId w:val="3"/>
        </w:numPr>
        <w:rPr>
          <w:rFonts w:ascii="Arial" w:hAnsi="Arial" w:cs="Arial"/>
        </w:rPr>
      </w:pPr>
      <w:hyperlink r:id="rId8" w:history="1">
        <w:r w:rsidR="00B5010E" w:rsidRPr="00E75F3D">
          <w:rPr>
            <w:rStyle w:val="Hyperlink"/>
            <w:rFonts w:ascii="Arial" w:hAnsi="Arial" w:cs="Arial"/>
          </w:rPr>
          <w:t>Martin Buber</w:t>
        </w:r>
      </w:hyperlink>
      <w:r w:rsidR="00B5010E" w:rsidRPr="00B5010E">
        <w:rPr>
          <w:rFonts w:ascii="Arial" w:hAnsi="Arial" w:cs="Arial"/>
        </w:rPr>
        <w:t>- (1878-1975) a professor of Jewish theology</w:t>
      </w:r>
    </w:p>
    <w:p w:rsidR="00B5010E" w:rsidRPr="00B5010E" w:rsidRDefault="00FD75E5" w:rsidP="00B5010E">
      <w:pPr>
        <w:pStyle w:val="ListParagraph"/>
        <w:numPr>
          <w:ilvl w:val="0"/>
          <w:numId w:val="3"/>
        </w:numPr>
        <w:rPr>
          <w:rFonts w:ascii="Arial" w:hAnsi="Arial" w:cs="Arial"/>
        </w:rPr>
      </w:pPr>
      <w:hyperlink r:id="rId9" w:history="1">
        <w:r w:rsidR="00B5010E" w:rsidRPr="00E75F3D">
          <w:rPr>
            <w:rStyle w:val="Hyperlink"/>
            <w:rFonts w:ascii="Arial" w:hAnsi="Arial" w:cs="Arial"/>
          </w:rPr>
          <w:t>Paul Tillich</w:t>
        </w:r>
      </w:hyperlink>
      <w:r w:rsidR="00B5010E" w:rsidRPr="00B5010E">
        <w:rPr>
          <w:rFonts w:ascii="Arial" w:hAnsi="Arial" w:cs="Arial"/>
        </w:rPr>
        <w:t xml:space="preserve">- (1886-1965) a theologian </w:t>
      </w:r>
    </w:p>
    <w:p w:rsidR="00F77DFB" w:rsidRPr="00992C00" w:rsidRDefault="00FD75E5" w:rsidP="00992C00">
      <w:pPr>
        <w:pStyle w:val="ListParagraph"/>
        <w:numPr>
          <w:ilvl w:val="0"/>
          <w:numId w:val="3"/>
        </w:numPr>
        <w:rPr>
          <w:rFonts w:ascii="Arial" w:hAnsi="Arial" w:cs="Arial"/>
        </w:rPr>
      </w:pPr>
      <w:hyperlink r:id="rId10" w:history="1">
        <w:r w:rsidR="00B5010E" w:rsidRPr="00E75F3D">
          <w:rPr>
            <w:rStyle w:val="Hyperlink"/>
            <w:rFonts w:ascii="Arial" w:hAnsi="Arial" w:cs="Arial"/>
          </w:rPr>
          <w:t>Elijah Muhammad</w:t>
        </w:r>
      </w:hyperlink>
      <w:r w:rsidR="00B5010E" w:rsidRPr="00B5010E">
        <w:rPr>
          <w:rFonts w:ascii="Arial" w:hAnsi="Arial" w:cs="Arial"/>
        </w:rPr>
        <w:t>- (1897-1975) a leader in the Black Muslim faith; he preached racial segregation.</w:t>
      </w:r>
    </w:p>
    <w:p w:rsidR="00992C00" w:rsidRPr="009B5EA0" w:rsidRDefault="00FD75E5" w:rsidP="00992C00">
      <w:pPr>
        <w:tabs>
          <w:tab w:val="right" w:leader="dot" w:pos="8640"/>
        </w:tabs>
        <w:spacing w:after="120"/>
        <w:rPr>
          <w:rFonts w:eastAsia="Times New Roman"/>
        </w:rPr>
      </w:pPr>
      <w:hyperlink r:id="rId11" w:history="1">
        <w:r w:rsidR="00992C00" w:rsidRPr="009B5EA0">
          <w:rPr>
            <w:rStyle w:val="Hyperlink"/>
            <w:rFonts w:eastAsia="Times New Roman"/>
            <w:color w:val="FF0000"/>
          </w:rPr>
          <w:t xml:space="preserve">Martin Luther </w:t>
        </w:r>
        <w:r w:rsidR="00992C00" w:rsidRPr="009B5EA0">
          <w:rPr>
            <w:rStyle w:val="Hyperlink"/>
            <w:rFonts w:eastAsia="Times New Roman"/>
            <w:b/>
            <w:color w:val="FF0000"/>
          </w:rPr>
          <w:t>King</w:t>
        </w:r>
        <w:r w:rsidR="00992C00" w:rsidRPr="009B5EA0">
          <w:rPr>
            <w:rStyle w:val="Hyperlink"/>
            <w:rFonts w:eastAsia="Times New Roman"/>
            <w:color w:val="FF0000"/>
          </w:rPr>
          <w:t>, Jr.</w:t>
        </w:r>
      </w:hyperlink>
      <w:r w:rsidR="00992C00" w:rsidRPr="009B5EA0">
        <w:rPr>
          <w:rFonts w:eastAsia="Times New Roman"/>
        </w:rPr>
        <w:tab/>
        <w:t>“</w:t>
      </w:r>
      <w:hyperlink r:id="rId12">
        <w:r w:rsidR="00992C00" w:rsidRPr="009B5EA0">
          <w:rPr>
            <w:rFonts w:eastAsia="Times New Roman"/>
            <w:color w:val="FF0000"/>
            <w:u w:val="single"/>
          </w:rPr>
          <w:t>Letter from Birmingham Jail</w:t>
        </w:r>
      </w:hyperlink>
      <w:r w:rsidR="00992C00" w:rsidRPr="009B5EA0">
        <w:rPr>
          <w:rFonts w:eastAsia="Times New Roman"/>
          <w:color w:val="FF0000"/>
          <w:u w:val="single"/>
        </w:rPr>
        <w:t>”</w:t>
      </w:r>
    </w:p>
    <w:p w:rsidR="00C63CA3" w:rsidRDefault="00C63CA3" w:rsidP="00182632">
      <w:pPr>
        <w:tabs>
          <w:tab w:val="left" w:pos="6750"/>
        </w:tabs>
        <w:spacing w:line="240" w:lineRule="auto"/>
        <w:rPr>
          <w:b/>
          <w:color w:val="000000" w:themeColor="text1"/>
        </w:rPr>
      </w:pPr>
    </w:p>
    <w:p w:rsidR="00182632" w:rsidRPr="00C63CA3" w:rsidRDefault="00182632" w:rsidP="00182632">
      <w:pPr>
        <w:tabs>
          <w:tab w:val="left" w:pos="6750"/>
        </w:tabs>
        <w:spacing w:line="240" w:lineRule="auto"/>
        <w:rPr>
          <w:b/>
          <w:color w:val="000000" w:themeColor="text1"/>
        </w:rPr>
      </w:pPr>
      <w:r w:rsidRPr="00C63CA3">
        <w:rPr>
          <w:b/>
          <w:color w:val="000000" w:themeColor="text1"/>
        </w:rPr>
        <w:t>Questions/Assignments</w:t>
      </w:r>
    </w:p>
    <w:p w:rsidR="00992C00" w:rsidRDefault="00992C00" w:rsidP="00182632">
      <w:pPr>
        <w:rPr>
          <w:szCs w:val="24"/>
        </w:rPr>
      </w:pPr>
      <w:bookmarkStart w:id="0" w:name="_GoBack"/>
      <w:bookmarkEnd w:id="0"/>
    </w:p>
    <w:p w:rsidR="000C6F88" w:rsidRDefault="000C6F88" w:rsidP="00182632">
      <w:pPr>
        <w:rPr>
          <w:szCs w:val="24"/>
        </w:rPr>
      </w:pPr>
      <w:r>
        <w:rPr>
          <w:szCs w:val="24"/>
        </w:rPr>
        <w:t>Question 1</w:t>
      </w:r>
    </w:p>
    <w:p w:rsidR="00182632" w:rsidRPr="003D0BC5" w:rsidRDefault="00182632" w:rsidP="00992C00">
      <w:pPr>
        <w:ind w:left="990" w:hanging="270"/>
        <w:rPr>
          <w:szCs w:val="24"/>
        </w:rPr>
      </w:pPr>
      <w:proofErr w:type="gramStart"/>
      <w:r w:rsidRPr="003D0BC5">
        <w:rPr>
          <w:szCs w:val="24"/>
        </w:rPr>
        <w:t xml:space="preserve">a. </w:t>
      </w:r>
      <w:r>
        <w:rPr>
          <w:szCs w:val="24"/>
        </w:rPr>
        <w:t xml:space="preserve"> </w:t>
      </w:r>
      <w:r w:rsidR="00FD75E5">
        <w:rPr>
          <w:szCs w:val="24"/>
        </w:rPr>
        <w:t>List</w:t>
      </w:r>
      <w:proofErr w:type="gramEnd"/>
      <w:r w:rsidRPr="003D0BC5">
        <w:rPr>
          <w:szCs w:val="24"/>
        </w:rPr>
        <w:t xml:space="preserve"> the allusions King makes in this letter.</w:t>
      </w:r>
    </w:p>
    <w:p w:rsidR="00182632" w:rsidRDefault="00182632" w:rsidP="00992C00">
      <w:pPr>
        <w:ind w:left="990" w:hanging="270"/>
        <w:rPr>
          <w:szCs w:val="24"/>
        </w:rPr>
      </w:pPr>
      <w:proofErr w:type="gramStart"/>
      <w:r w:rsidRPr="003D0BC5">
        <w:rPr>
          <w:szCs w:val="24"/>
        </w:rPr>
        <w:t>b.</w:t>
      </w:r>
      <w:r>
        <w:rPr>
          <w:szCs w:val="24"/>
        </w:rPr>
        <w:t xml:space="preserve"> </w:t>
      </w:r>
      <w:r w:rsidRPr="003D0BC5">
        <w:rPr>
          <w:szCs w:val="24"/>
        </w:rPr>
        <w:t xml:space="preserve"> How</w:t>
      </w:r>
      <w:proofErr w:type="gramEnd"/>
      <w:r w:rsidRPr="003D0BC5">
        <w:rPr>
          <w:szCs w:val="24"/>
        </w:rPr>
        <w:t xml:space="preserve"> do these historical, religious, and literary allusions increase the effectiveness of his persuasion?</w:t>
      </w:r>
    </w:p>
    <w:p w:rsidR="00992C00" w:rsidRPr="003D0BC5" w:rsidRDefault="00992C00" w:rsidP="00992C00">
      <w:pPr>
        <w:ind w:left="990" w:hanging="270"/>
        <w:rPr>
          <w:szCs w:val="24"/>
        </w:rPr>
      </w:pPr>
    </w:p>
    <w:p w:rsidR="000C6F88" w:rsidRDefault="000C6F88" w:rsidP="00182632">
      <w:pPr>
        <w:ind w:left="720" w:hanging="720"/>
        <w:rPr>
          <w:szCs w:val="24"/>
        </w:rPr>
      </w:pPr>
      <w:r>
        <w:rPr>
          <w:szCs w:val="24"/>
        </w:rPr>
        <w:t>Question 2</w:t>
      </w:r>
    </w:p>
    <w:p w:rsidR="00182632" w:rsidRPr="003D0BC5" w:rsidRDefault="00182632" w:rsidP="00992C00">
      <w:pPr>
        <w:ind w:left="990" w:hanging="270"/>
        <w:rPr>
          <w:szCs w:val="24"/>
        </w:rPr>
      </w:pPr>
      <w:proofErr w:type="gramStart"/>
      <w:r w:rsidRPr="003D0BC5">
        <w:rPr>
          <w:szCs w:val="24"/>
        </w:rPr>
        <w:t>a.</w:t>
      </w:r>
      <w:r>
        <w:rPr>
          <w:szCs w:val="24"/>
        </w:rPr>
        <w:t xml:space="preserve"> </w:t>
      </w:r>
      <w:r w:rsidRPr="003D0BC5">
        <w:rPr>
          <w:szCs w:val="24"/>
        </w:rPr>
        <w:t xml:space="preserve"> </w:t>
      </w:r>
      <w:r w:rsidR="00FD75E5">
        <w:rPr>
          <w:szCs w:val="24"/>
        </w:rPr>
        <w:t>List</w:t>
      </w:r>
      <w:proofErr w:type="gramEnd"/>
      <w:r w:rsidR="00FD75E5">
        <w:rPr>
          <w:szCs w:val="24"/>
        </w:rPr>
        <w:t xml:space="preserve"> </w:t>
      </w:r>
      <w:r w:rsidRPr="003D0BC5">
        <w:rPr>
          <w:szCs w:val="24"/>
        </w:rPr>
        <w:t xml:space="preserve"> examples of repetition, antithesis, parallel structure, metaphor, and imagery.</w:t>
      </w:r>
    </w:p>
    <w:p w:rsidR="00182632" w:rsidRDefault="00182632" w:rsidP="00992C00">
      <w:pPr>
        <w:ind w:left="990" w:hanging="270"/>
        <w:rPr>
          <w:szCs w:val="24"/>
        </w:rPr>
      </w:pPr>
      <w:proofErr w:type="gramStart"/>
      <w:r w:rsidRPr="003D0BC5">
        <w:rPr>
          <w:szCs w:val="24"/>
        </w:rPr>
        <w:lastRenderedPageBreak/>
        <w:t>b.</w:t>
      </w:r>
      <w:r w:rsidR="00FD75E5">
        <w:rPr>
          <w:szCs w:val="24"/>
        </w:rPr>
        <w:t xml:space="preserve"> </w:t>
      </w:r>
      <w:r w:rsidRPr="003D0BC5">
        <w:rPr>
          <w:szCs w:val="24"/>
        </w:rPr>
        <w:t xml:space="preserve"> </w:t>
      </w:r>
      <w:r>
        <w:rPr>
          <w:szCs w:val="24"/>
        </w:rPr>
        <w:t>A</w:t>
      </w:r>
      <w:r w:rsidRPr="003D0BC5">
        <w:rPr>
          <w:szCs w:val="24"/>
        </w:rPr>
        <w:t>nalyze</w:t>
      </w:r>
      <w:proofErr w:type="gramEnd"/>
      <w:r w:rsidRPr="003D0BC5">
        <w:rPr>
          <w:szCs w:val="24"/>
        </w:rPr>
        <w:t xml:space="preserve"> King’s style and suggest how his use of language makes his argument more effective.</w:t>
      </w:r>
    </w:p>
    <w:p w:rsidR="00992C00" w:rsidRPr="003D0BC5" w:rsidRDefault="00992C00" w:rsidP="00992C00">
      <w:pPr>
        <w:ind w:left="990" w:hanging="270"/>
        <w:rPr>
          <w:szCs w:val="24"/>
        </w:rPr>
      </w:pPr>
    </w:p>
    <w:p w:rsidR="00DA0ECF" w:rsidRDefault="00DA0ECF" w:rsidP="00182632">
      <w:pPr>
        <w:rPr>
          <w:szCs w:val="24"/>
        </w:rPr>
      </w:pPr>
      <w:r>
        <w:rPr>
          <w:szCs w:val="24"/>
        </w:rPr>
        <w:t>Question 3</w:t>
      </w:r>
    </w:p>
    <w:p w:rsidR="00182632" w:rsidRPr="003D0BC5" w:rsidRDefault="00182632" w:rsidP="00992C00">
      <w:pPr>
        <w:ind w:left="1080" w:hanging="360"/>
        <w:rPr>
          <w:szCs w:val="24"/>
        </w:rPr>
      </w:pPr>
      <w:proofErr w:type="gramStart"/>
      <w:r w:rsidRPr="003D0BC5">
        <w:rPr>
          <w:szCs w:val="24"/>
        </w:rPr>
        <w:t xml:space="preserve">a. </w:t>
      </w:r>
      <w:r>
        <w:rPr>
          <w:szCs w:val="24"/>
        </w:rPr>
        <w:t xml:space="preserve"> </w:t>
      </w:r>
      <w:r w:rsidRPr="003D0BC5">
        <w:rPr>
          <w:szCs w:val="24"/>
        </w:rPr>
        <w:t>What</w:t>
      </w:r>
      <w:proofErr w:type="gramEnd"/>
      <w:r w:rsidRPr="003D0BC5">
        <w:rPr>
          <w:szCs w:val="24"/>
        </w:rPr>
        <w:t xml:space="preserve"> is the purpose of King’s letter?</w:t>
      </w:r>
    </w:p>
    <w:p w:rsidR="00182632" w:rsidRPr="003D0BC5" w:rsidRDefault="00182632" w:rsidP="00992C00">
      <w:pPr>
        <w:ind w:left="1080" w:hanging="360"/>
        <w:rPr>
          <w:szCs w:val="24"/>
        </w:rPr>
      </w:pPr>
      <w:proofErr w:type="gramStart"/>
      <w:r w:rsidRPr="003D0BC5">
        <w:rPr>
          <w:szCs w:val="24"/>
        </w:rPr>
        <w:t xml:space="preserve">b. </w:t>
      </w:r>
      <w:r>
        <w:rPr>
          <w:szCs w:val="24"/>
        </w:rPr>
        <w:t xml:space="preserve"> </w:t>
      </w:r>
      <w:r w:rsidRPr="003D0BC5">
        <w:rPr>
          <w:szCs w:val="24"/>
        </w:rPr>
        <w:t>Label</w:t>
      </w:r>
      <w:proofErr w:type="gramEnd"/>
      <w:r w:rsidRPr="003D0BC5">
        <w:rPr>
          <w:szCs w:val="24"/>
        </w:rPr>
        <w:t xml:space="preserve"> the appeals (</w:t>
      </w:r>
      <w:r w:rsidRPr="003D0BC5">
        <w:rPr>
          <w:i/>
          <w:szCs w:val="24"/>
        </w:rPr>
        <w:t>logos, pathos, and ethos</w:t>
      </w:r>
      <w:r w:rsidRPr="003D0BC5">
        <w:rPr>
          <w:szCs w:val="24"/>
        </w:rPr>
        <w:t>) in the margins at the passages where King employs these to persuade his audience.</w:t>
      </w:r>
    </w:p>
    <w:p w:rsidR="00182632" w:rsidRPr="003D0BC5" w:rsidRDefault="00182632" w:rsidP="00992C00">
      <w:pPr>
        <w:ind w:left="1080" w:hanging="360"/>
        <w:rPr>
          <w:szCs w:val="24"/>
        </w:rPr>
      </w:pPr>
      <w:proofErr w:type="gramStart"/>
      <w:r w:rsidRPr="003D0BC5">
        <w:rPr>
          <w:szCs w:val="24"/>
        </w:rPr>
        <w:t xml:space="preserve">c. </w:t>
      </w:r>
      <w:r>
        <w:rPr>
          <w:szCs w:val="24"/>
        </w:rPr>
        <w:t xml:space="preserve"> </w:t>
      </w:r>
      <w:r w:rsidR="00FD75E5">
        <w:rPr>
          <w:szCs w:val="24"/>
        </w:rPr>
        <w:t>List</w:t>
      </w:r>
      <w:proofErr w:type="gramEnd"/>
      <w:r w:rsidRPr="003D0BC5">
        <w:rPr>
          <w:szCs w:val="24"/>
        </w:rPr>
        <w:t xml:space="preserve"> indications that King has a broader audience in mind than the specific clergy the letter is addressed to.</w:t>
      </w:r>
    </w:p>
    <w:p w:rsidR="00182632" w:rsidRDefault="00182632" w:rsidP="00992C00">
      <w:pPr>
        <w:ind w:left="1080" w:hanging="360"/>
        <w:rPr>
          <w:szCs w:val="24"/>
        </w:rPr>
      </w:pPr>
      <w:proofErr w:type="gramStart"/>
      <w:r w:rsidRPr="003D0BC5">
        <w:rPr>
          <w:szCs w:val="24"/>
        </w:rPr>
        <w:t xml:space="preserve">d. </w:t>
      </w:r>
      <w:r>
        <w:rPr>
          <w:szCs w:val="24"/>
        </w:rPr>
        <w:t xml:space="preserve"> </w:t>
      </w:r>
      <w:r w:rsidRPr="003D0BC5">
        <w:rPr>
          <w:szCs w:val="24"/>
        </w:rPr>
        <w:t>Explain</w:t>
      </w:r>
      <w:proofErr w:type="gramEnd"/>
      <w:r w:rsidRPr="003D0BC5">
        <w:rPr>
          <w:szCs w:val="24"/>
        </w:rPr>
        <w:t xml:space="preserve"> how his use of various authorities appeals to his audiences.</w:t>
      </w:r>
    </w:p>
    <w:p w:rsidR="00992C00" w:rsidRPr="003D0BC5" w:rsidRDefault="00992C00" w:rsidP="00992C00">
      <w:pPr>
        <w:ind w:left="1080" w:hanging="360"/>
        <w:rPr>
          <w:szCs w:val="24"/>
        </w:rPr>
      </w:pPr>
    </w:p>
    <w:p w:rsidR="00DA0ECF" w:rsidRDefault="00DA0ECF" w:rsidP="00182632">
      <w:pPr>
        <w:rPr>
          <w:szCs w:val="24"/>
        </w:rPr>
      </w:pPr>
      <w:r>
        <w:rPr>
          <w:szCs w:val="24"/>
        </w:rPr>
        <w:t>Question 4</w:t>
      </w:r>
    </w:p>
    <w:p w:rsidR="00182632" w:rsidRPr="003D0BC5" w:rsidRDefault="00182632" w:rsidP="00992C00">
      <w:pPr>
        <w:ind w:left="1080" w:hanging="360"/>
        <w:rPr>
          <w:szCs w:val="24"/>
        </w:rPr>
      </w:pPr>
      <w:proofErr w:type="gramStart"/>
      <w:r w:rsidRPr="003D0BC5">
        <w:rPr>
          <w:szCs w:val="24"/>
        </w:rPr>
        <w:t xml:space="preserve">a. </w:t>
      </w:r>
      <w:r>
        <w:rPr>
          <w:szCs w:val="24"/>
        </w:rPr>
        <w:t xml:space="preserve"> </w:t>
      </w:r>
      <w:r w:rsidRPr="003D0BC5">
        <w:rPr>
          <w:szCs w:val="24"/>
        </w:rPr>
        <w:t>What</w:t>
      </w:r>
      <w:proofErr w:type="gramEnd"/>
      <w:r w:rsidRPr="003D0BC5">
        <w:rPr>
          <w:szCs w:val="24"/>
        </w:rPr>
        <w:t xml:space="preserve"> are the categories in which King classifies law?</w:t>
      </w:r>
    </w:p>
    <w:p w:rsidR="00182632" w:rsidRPr="003D0BC5" w:rsidRDefault="00182632" w:rsidP="00992C00">
      <w:pPr>
        <w:ind w:left="1080" w:hanging="360"/>
        <w:rPr>
          <w:szCs w:val="24"/>
        </w:rPr>
      </w:pPr>
      <w:proofErr w:type="gramStart"/>
      <w:r w:rsidRPr="003D0BC5">
        <w:rPr>
          <w:szCs w:val="24"/>
        </w:rPr>
        <w:t xml:space="preserve">b. </w:t>
      </w:r>
      <w:r>
        <w:rPr>
          <w:szCs w:val="24"/>
        </w:rPr>
        <w:t xml:space="preserve"> </w:t>
      </w:r>
      <w:r w:rsidRPr="003D0BC5">
        <w:rPr>
          <w:szCs w:val="24"/>
        </w:rPr>
        <w:t>Explain</w:t>
      </w:r>
      <w:proofErr w:type="gramEnd"/>
      <w:r w:rsidRPr="003D0BC5">
        <w:rPr>
          <w:szCs w:val="24"/>
        </w:rPr>
        <w:t xml:space="preserve"> King’s interpretation of law and his consequent actions in the civil rights movement.</w:t>
      </w:r>
    </w:p>
    <w:p w:rsidR="00182632" w:rsidRDefault="00182632" w:rsidP="00992C00">
      <w:pPr>
        <w:ind w:left="1080" w:hanging="360"/>
        <w:rPr>
          <w:szCs w:val="24"/>
        </w:rPr>
      </w:pPr>
      <w:proofErr w:type="gramStart"/>
      <w:r w:rsidRPr="003D0BC5">
        <w:rPr>
          <w:szCs w:val="24"/>
        </w:rPr>
        <w:t>c.</w:t>
      </w:r>
      <w:r>
        <w:rPr>
          <w:szCs w:val="24"/>
        </w:rPr>
        <w:t xml:space="preserve"> </w:t>
      </w:r>
      <w:r w:rsidRPr="003D0BC5">
        <w:rPr>
          <w:szCs w:val="24"/>
        </w:rPr>
        <w:t xml:space="preserve"> Explain</w:t>
      </w:r>
      <w:proofErr w:type="gramEnd"/>
      <w:r w:rsidRPr="003D0BC5">
        <w:rPr>
          <w:szCs w:val="24"/>
        </w:rPr>
        <w:t xml:space="preserve"> why you agree or disagree with King’s interpretation of the relative merits of law.</w:t>
      </w:r>
    </w:p>
    <w:p w:rsidR="00992C00" w:rsidRPr="003D0BC5" w:rsidRDefault="00992C00" w:rsidP="00992C00">
      <w:pPr>
        <w:ind w:left="1080" w:hanging="360"/>
        <w:rPr>
          <w:szCs w:val="24"/>
        </w:rPr>
      </w:pPr>
    </w:p>
    <w:p w:rsidR="003D2A0F" w:rsidRDefault="003D2A0F" w:rsidP="00182632">
      <w:pPr>
        <w:rPr>
          <w:szCs w:val="24"/>
        </w:rPr>
      </w:pPr>
      <w:r>
        <w:rPr>
          <w:szCs w:val="24"/>
        </w:rPr>
        <w:t>Question 5</w:t>
      </w:r>
    </w:p>
    <w:p w:rsidR="00182632" w:rsidRPr="003D0BC5" w:rsidRDefault="00182632" w:rsidP="00992C00">
      <w:pPr>
        <w:ind w:left="1080" w:hanging="360"/>
        <w:rPr>
          <w:szCs w:val="24"/>
        </w:rPr>
      </w:pPr>
      <w:r w:rsidRPr="003D0BC5">
        <w:rPr>
          <w:szCs w:val="24"/>
        </w:rPr>
        <w:t>This essay is a well-structured argument.</w:t>
      </w:r>
    </w:p>
    <w:p w:rsidR="00182632" w:rsidRPr="003D0BC5" w:rsidRDefault="00182632" w:rsidP="00992C00">
      <w:pPr>
        <w:ind w:left="1080" w:hanging="360"/>
        <w:rPr>
          <w:szCs w:val="24"/>
        </w:rPr>
      </w:pPr>
      <w:proofErr w:type="gramStart"/>
      <w:r w:rsidRPr="003D0BC5">
        <w:rPr>
          <w:szCs w:val="24"/>
        </w:rPr>
        <w:t>a.</w:t>
      </w:r>
      <w:r>
        <w:rPr>
          <w:szCs w:val="24"/>
        </w:rPr>
        <w:t xml:space="preserve"> </w:t>
      </w:r>
      <w:r w:rsidRPr="003D0BC5">
        <w:rPr>
          <w:szCs w:val="24"/>
        </w:rPr>
        <w:t xml:space="preserve"> Mark</w:t>
      </w:r>
      <w:proofErr w:type="gramEnd"/>
      <w:r w:rsidRPr="003D0BC5">
        <w:rPr>
          <w:szCs w:val="24"/>
        </w:rPr>
        <w:t xml:space="preserve"> in the margins the appropriate numbers and letters needed to outline the main divisions and major points.</w:t>
      </w:r>
    </w:p>
    <w:p w:rsidR="00182632" w:rsidRDefault="00182632" w:rsidP="00992C00">
      <w:pPr>
        <w:ind w:left="1080" w:hanging="360"/>
        <w:rPr>
          <w:szCs w:val="24"/>
        </w:rPr>
      </w:pPr>
      <w:proofErr w:type="gramStart"/>
      <w:r w:rsidRPr="003D0BC5">
        <w:rPr>
          <w:szCs w:val="24"/>
        </w:rPr>
        <w:t xml:space="preserve">b. </w:t>
      </w:r>
      <w:r>
        <w:rPr>
          <w:szCs w:val="24"/>
        </w:rPr>
        <w:t xml:space="preserve"> </w:t>
      </w:r>
      <w:r w:rsidRPr="003D0BC5">
        <w:rPr>
          <w:szCs w:val="24"/>
        </w:rPr>
        <w:t>By</w:t>
      </w:r>
      <w:proofErr w:type="gramEnd"/>
      <w:r w:rsidRPr="003D0BC5">
        <w:rPr>
          <w:szCs w:val="24"/>
        </w:rPr>
        <w:t xml:space="preserve"> the appropriate sentences, write within your marginal outline the elements of the argument: assertion, confirmation, concession, and refutation (they may not appear in this order).</w:t>
      </w:r>
    </w:p>
    <w:p w:rsidR="00992C00" w:rsidRPr="003D0BC5" w:rsidRDefault="00992C00" w:rsidP="00992C00">
      <w:pPr>
        <w:ind w:left="1080" w:hanging="360"/>
        <w:rPr>
          <w:szCs w:val="24"/>
        </w:rPr>
      </w:pPr>
    </w:p>
    <w:p w:rsidR="000563A0" w:rsidRDefault="000563A0" w:rsidP="00182632">
      <w:pPr>
        <w:ind w:left="720" w:hanging="720"/>
        <w:rPr>
          <w:szCs w:val="24"/>
        </w:rPr>
      </w:pPr>
      <w:r>
        <w:rPr>
          <w:szCs w:val="24"/>
        </w:rPr>
        <w:t>Question 6</w:t>
      </w:r>
    </w:p>
    <w:p w:rsidR="00182632" w:rsidRPr="003D0BC5" w:rsidRDefault="00182632" w:rsidP="000563A0">
      <w:pPr>
        <w:ind w:left="720"/>
        <w:rPr>
          <w:szCs w:val="24"/>
        </w:rPr>
      </w:pPr>
      <w:r w:rsidRPr="003D0BC5">
        <w:rPr>
          <w:szCs w:val="24"/>
        </w:rPr>
        <w:t>King’s disappointment with the church’s separation of the sacred and the secular identifies a dilemma that plagues us now. Having placed its concerns int</w:t>
      </w:r>
      <w:r w:rsidR="00FD75E5">
        <w:rPr>
          <w:szCs w:val="24"/>
        </w:rPr>
        <w:t>o a realm it calls the “sacred,”</w:t>
      </w:r>
      <w:r w:rsidRPr="003D0BC5">
        <w:rPr>
          <w:szCs w:val="24"/>
        </w:rPr>
        <w:t xml:space="preserve"> the modern church has, in King’s words, become “an arch defender of the status quo” and has lost its effectiveness as a major influence in the world. Write a brief, persuasive essay on this question, agreeing or disagreeing with King’s perspective, and focusing on a contemporary social problem the church has or has not dealt with effectively. Give examples to support and illustrate your points and use some of the same techniques and appeals that King uses in this letter.</w:t>
      </w:r>
    </w:p>
    <w:p w:rsidR="00D01145" w:rsidRDefault="00D01145"/>
    <w:sectPr w:rsidR="00D0114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DengXian">
    <w:altName w:val="等线"/>
    <w:charset w:val="86"/>
    <w:family w:val="modern"/>
    <w:pitch w:val="fixed"/>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DengXian Light">
    <w:altName w:val="等线 Light"/>
    <w:panose1 w:val="00000000000000000000"/>
    <w:charset w:val="86"/>
    <w:family w:val="roman"/>
    <w:notTrueType/>
    <w:pitch w:val="default"/>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01142D"/>
    <w:multiLevelType w:val="hybridMultilevel"/>
    <w:tmpl w:val="5172F2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720AB6"/>
    <w:multiLevelType w:val="hybridMultilevel"/>
    <w:tmpl w:val="57060C60"/>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53124AE"/>
    <w:multiLevelType w:val="hybridMultilevel"/>
    <w:tmpl w:val="9B2ED4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BA50B87"/>
    <w:multiLevelType w:val="hybridMultilevel"/>
    <w:tmpl w:val="876EFCE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2632"/>
    <w:rsid w:val="000563A0"/>
    <w:rsid w:val="000C6F88"/>
    <w:rsid w:val="00182632"/>
    <w:rsid w:val="003D2A0F"/>
    <w:rsid w:val="007E006A"/>
    <w:rsid w:val="00992C00"/>
    <w:rsid w:val="009F4887"/>
    <w:rsid w:val="00B5010E"/>
    <w:rsid w:val="00C63CA3"/>
    <w:rsid w:val="00D01145"/>
    <w:rsid w:val="00DA0ECF"/>
    <w:rsid w:val="00DF0E05"/>
    <w:rsid w:val="00E75F3D"/>
    <w:rsid w:val="00F4413A"/>
    <w:rsid w:val="00F77DFB"/>
    <w:rsid w:val="00FB3734"/>
    <w:rsid w:val="00FD75E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F3FE787-8238-4D7A-93A9-6B0D0EE5E4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182632"/>
    <w:pPr>
      <w:pBdr>
        <w:top w:val="nil"/>
        <w:left w:val="nil"/>
        <w:bottom w:val="nil"/>
        <w:right w:val="nil"/>
        <w:between w:val="nil"/>
      </w:pBdr>
      <w:spacing w:after="0" w:line="276" w:lineRule="auto"/>
    </w:pPr>
    <w:rPr>
      <w:rFonts w:ascii="Arial" w:eastAsia="Arial" w:hAnsi="Arial" w:cs="Arial"/>
      <w:color w:val="000000"/>
      <w:lang w:val="en"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5010E"/>
    <w:pPr>
      <w:pBdr>
        <w:top w:val="none" w:sz="0" w:space="0" w:color="auto"/>
        <w:left w:val="none" w:sz="0" w:space="0" w:color="auto"/>
        <w:bottom w:val="none" w:sz="0" w:space="0" w:color="auto"/>
        <w:right w:val="none" w:sz="0" w:space="0" w:color="auto"/>
        <w:between w:val="none" w:sz="0" w:space="0" w:color="auto"/>
      </w:pBdr>
      <w:spacing w:after="200"/>
      <w:ind w:left="720"/>
      <w:contextualSpacing/>
    </w:pPr>
    <w:rPr>
      <w:rFonts w:asciiTheme="minorHAnsi" w:eastAsiaTheme="minorHAnsi" w:hAnsiTheme="minorHAnsi" w:cstheme="minorBidi"/>
      <w:color w:val="auto"/>
      <w:lang w:val="en-US"/>
    </w:rPr>
  </w:style>
  <w:style w:type="character" w:styleId="Hyperlink">
    <w:name w:val="Hyperlink"/>
    <w:basedOn w:val="DefaultParagraphFont"/>
    <w:uiPriority w:val="99"/>
    <w:unhideWhenUsed/>
    <w:rsid w:val="00E75F3D"/>
    <w:rPr>
      <w:color w:val="0563C1" w:themeColor="hyperlink"/>
      <w:u w:val="single"/>
    </w:rPr>
  </w:style>
  <w:style w:type="table" w:styleId="TableGrid">
    <w:name w:val="Table Grid"/>
    <w:basedOn w:val="TableNormal"/>
    <w:uiPriority w:val="39"/>
    <w:rsid w:val="00992C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ep.utm.edu/buber/"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newadvent.org/cathen/14663b.htm" TargetMode="External"/><Relationship Id="rId12" Type="http://schemas.openxmlformats.org/officeDocument/2006/relationships/hyperlink" Target="http://centricconsulting.com/wp-content/uploads/2014/02/Letter-from-birmingham-jail.pd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christianitytoday.com/history/people/theologians/augustine-of-hippo.html" TargetMode="External"/><Relationship Id="rId11" Type="http://schemas.openxmlformats.org/officeDocument/2006/relationships/hyperlink" Target="http://online.infobase.com.oralroberts.idm.oclc.org/HRC/Search/Details/12?articleId=475608&amp;q=martin%20luther%20king%20jr" TargetMode="External"/><Relationship Id="rId5" Type="http://schemas.openxmlformats.org/officeDocument/2006/relationships/hyperlink" Target="https://www.christianitytoday.com/ct/2017/may-web-only/reinhold-niebuhr-five-things-you-should-know.html" TargetMode="External"/><Relationship Id="rId10" Type="http://schemas.openxmlformats.org/officeDocument/2006/relationships/hyperlink" Target="https://www.biography.com/people/elijah-muhammad-9417458" TargetMode="External"/><Relationship Id="rId4" Type="http://schemas.openxmlformats.org/officeDocument/2006/relationships/webSettings" Target="webSettings.xml"/><Relationship Id="rId9" Type="http://schemas.openxmlformats.org/officeDocument/2006/relationships/hyperlink" Target="https://www.britannica.com/biography/Paul-Tillich"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62</TotalTime>
  <Pages>2</Pages>
  <Words>634</Words>
  <Characters>3614</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Oral Roberts University</Company>
  <LinksUpToDate>false</LinksUpToDate>
  <CharactersWithSpaces>4240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student</dc:creator>
  <cp:keywords/>
  <dc:description/>
  <cp:lastModifiedBy>Dr. Linda Gray</cp:lastModifiedBy>
  <cp:revision>10</cp:revision>
  <dcterms:created xsi:type="dcterms:W3CDTF">2018-04-05T19:01:00Z</dcterms:created>
  <dcterms:modified xsi:type="dcterms:W3CDTF">2018-08-13T02:36:00Z</dcterms:modified>
</cp:coreProperties>
</file>